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C664A" w14:textId="77777777" w:rsidR="00D52928" w:rsidRDefault="00D52928" w:rsidP="00D52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</w:pPr>
      <w:r w:rsidRPr="00D529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Relazione sulle Attività della Commissione di Trasferimento Tecnologico</w:t>
      </w:r>
    </w:p>
    <w:p w14:paraId="0CBCEB52" w14:textId="77777777" w:rsidR="00E87E0E" w:rsidRDefault="00E87E0E" w:rsidP="00D52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</w:pPr>
    </w:p>
    <w:p w14:paraId="469C5260" w14:textId="77777777" w:rsidR="00670B2B" w:rsidRPr="00F57B0B" w:rsidRDefault="00E87E0E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La Commissione di Trasferimento Tecnologico (CTT) è stata istituita con l'obiettivo di favorire il trasferimento di conoscenze e tecnologie e </w:t>
      </w:r>
      <w:r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di rispondere alle n</w:t>
      </w:r>
      <w:r w:rsidR="00004D7C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uove e crescenti</w:t>
      </w:r>
      <w:r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sfide nazionali ed internazionali </w:t>
      </w:r>
      <w:r w:rsidR="006B1F71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per </w:t>
      </w:r>
      <w:r w:rsidR="00670B2B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mantenere un alto livello di competitivit</w:t>
      </w:r>
      <w:r w:rsidR="003F3108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à </w:t>
      </w:r>
      <w:r w:rsidR="00670B2B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e tutelare e diffondere idee, conoscenze e progressi nella ricerca</w:t>
      </w:r>
      <w:r w:rsidR="006B1F71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e nell’industria</w:t>
      </w:r>
      <w:r w:rsidR="00670B2B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.</w:t>
      </w:r>
    </w:p>
    <w:p w14:paraId="7610FF71" w14:textId="398335B2" w:rsidR="00487DC4" w:rsidRPr="00F57B0B" w:rsidRDefault="00004D7C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Nel corso dell’anno l’</w:t>
      </w:r>
      <w:r w:rsidR="00487DC4" w:rsidRPr="00F57B0B">
        <w:rPr>
          <w:rFonts w:ascii="Times New Roman" w:hAnsi="Times New Roman" w:cs="Times New Roman"/>
          <w:sz w:val="24"/>
          <w:szCs w:val="24"/>
          <w:lang w:eastAsia="it-IT"/>
        </w:rPr>
        <w:t>attività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del CTT si è focalizzata principalmente sulla</w:t>
      </w:r>
      <w:r w:rsidR="003F310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: </w:t>
      </w:r>
      <w:r w:rsidR="003F3108" w:rsidRPr="00F57B0B">
        <w:rPr>
          <w:rFonts w:ascii="Times New Roman" w:hAnsi="Times New Roman" w:cs="Times New Roman"/>
          <w:i/>
          <w:sz w:val="24"/>
          <w:szCs w:val="24"/>
          <w:lang w:eastAsia="it-IT"/>
        </w:rPr>
        <w:t>i</w:t>
      </w:r>
      <w:r w:rsidR="00F57B0B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. promozione di seminari, eventi o incontri a tema, per migliorare la conoscenza delle norme, dei regolamenti e dell’iter amministrativo che appaiono molto spesso complicati e troppo articolati; </w:t>
      </w:r>
      <w:r w:rsidR="00F57B0B" w:rsidRPr="00F57B0B">
        <w:rPr>
          <w:rFonts w:ascii="Times New Roman" w:hAnsi="Times New Roman" w:cs="Times New Roman"/>
          <w:i/>
          <w:color w:val="222222"/>
          <w:sz w:val="24"/>
          <w:szCs w:val="24"/>
          <w:lang w:eastAsia="it-IT"/>
        </w:rPr>
        <w:t>ii.</w:t>
      </w:r>
      <w:r w:rsidR="00F57B0B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identificazione all’interno del Dipartimento di gruppi di ricerca interessati a valorizzare le proprie ricerche strutturando un percorso di collaborazione interna al Dipartimento e/o esterna allo stesso</w:t>
      </w:r>
      <w:r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; </w:t>
      </w:r>
      <w:r w:rsidR="003F3108" w:rsidRPr="00F57B0B">
        <w:rPr>
          <w:rFonts w:ascii="Times New Roman" w:hAnsi="Times New Roman" w:cs="Times New Roman"/>
          <w:i/>
          <w:color w:val="222222"/>
          <w:sz w:val="24"/>
          <w:szCs w:val="24"/>
          <w:lang w:eastAsia="it-IT"/>
        </w:rPr>
        <w:t>iii.</w:t>
      </w:r>
      <w:r w:rsidR="003F3108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</w:t>
      </w:r>
      <w:r w:rsidR="006B1F71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i</w:t>
      </w:r>
      <w:r w:rsidR="003F3108" w:rsidRPr="00F57B0B">
        <w:rPr>
          <w:rFonts w:ascii="Times New Roman" w:hAnsi="Times New Roman" w:cs="Times New Roman"/>
          <w:sz w:val="24"/>
          <w:szCs w:val="24"/>
        </w:rPr>
        <w:t>ncentivazione</w:t>
      </w:r>
      <w:r w:rsidR="00670B2B" w:rsidRPr="00F57B0B">
        <w:rPr>
          <w:rFonts w:ascii="Times New Roman" w:hAnsi="Times New Roman" w:cs="Times New Roman"/>
          <w:sz w:val="24"/>
          <w:szCs w:val="24"/>
        </w:rPr>
        <w:t xml:space="preserve"> al deposito di domande di brevetto a tutela della proprietà intellettuale, relativa a nuovi ritrovati sviluppati all’interno dei Laboratori di ricerca afferenti al Dipartimento;</w:t>
      </w:r>
      <w:r w:rsidR="00670B2B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</w:t>
      </w:r>
      <w:r w:rsidR="003F3108" w:rsidRPr="00F57B0B">
        <w:rPr>
          <w:rFonts w:ascii="Times New Roman" w:hAnsi="Times New Roman" w:cs="Times New Roman"/>
          <w:i/>
          <w:color w:val="222222"/>
          <w:sz w:val="24"/>
          <w:szCs w:val="24"/>
          <w:lang w:eastAsia="it-IT"/>
        </w:rPr>
        <w:t>iv.</w:t>
      </w:r>
      <w:r w:rsidR="00670B2B" w:rsidRPr="00F57B0B">
        <w:rPr>
          <w:rFonts w:ascii="Times New Roman" w:hAnsi="Times New Roman" w:cs="Times New Roman"/>
          <w:sz w:val="24"/>
          <w:szCs w:val="24"/>
        </w:rPr>
        <w:t xml:space="preserve"> supporto nella predisposizione di domande di finanziamento a valere su avvisi pubblici co</w:t>
      </w:r>
      <w:r w:rsidR="00F57B0B" w:rsidRPr="00F57B0B">
        <w:rPr>
          <w:rFonts w:ascii="Times New Roman" w:hAnsi="Times New Roman" w:cs="Times New Roman"/>
          <w:sz w:val="24"/>
          <w:szCs w:val="24"/>
        </w:rPr>
        <w:t>munitari, nazionali e regionali.</w:t>
      </w:r>
    </w:p>
    <w:p w14:paraId="052498B3" w14:textId="77777777" w:rsidR="00A75F52" w:rsidRPr="00F57B0B" w:rsidRDefault="00A75F52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  <w:r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La CTT ha individuato degli </w:t>
      </w:r>
      <w:r w:rsidR="006B1F71" w:rsidRPr="00F57B0B">
        <w:rPr>
          <w:rFonts w:ascii="Times New Roman" w:hAnsi="Times New Roman" w:cs="Times New Roman"/>
          <w:bCs/>
          <w:i/>
          <w:color w:val="222222"/>
          <w:sz w:val="24"/>
          <w:szCs w:val="24"/>
          <w:lang w:eastAsia="it-IT"/>
        </w:rPr>
        <w:t>i</w:t>
      </w:r>
      <w:r w:rsidRPr="00F57B0B">
        <w:rPr>
          <w:rFonts w:ascii="Times New Roman" w:hAnsi="Times New Roman" w:cs="Times New Roman"/>
          <w:bCs/>
          <w:i/>
          <w:color w:val="222222"/>
          <w:sz w:val="24"/>
          <w:szCs w:val="24"/>
          <w:lang w:eastAsia="it-IT"/>
        </w:rPr>
        <w:t>ndicatori specifici</w:t>
      </w:r>
      <w:r w:rsidRPr="00F57B0B">
        <w:rPr>
          <w:rFonts w:ascii="Times New Roman" w:hAnsi="Times New Roman" w:cs="Times New Roman"/>
          <w:bCs/>
          <w:color w:val="222222"/>
          <w:sz w:val="24"/>
          <w:szCs w:val="24"/>
          <w:lang w:eastAsia="it-IT"/>
        </w:rPr>
        <w:t xml:space="preserve"> allo scopo di verificare se le iniziative intraprese nel corso dell’anno </w:t>
      </w:r>
      <w:r w:rsidRPr="00F57B0B">
        <w:rPr>
          <w:rFonts w:ascii="Times New Roman" w:hAnsi="Times New Roman" w:cs="Times New Roman"/>
          <w:color w:val="040C28"/>
          <w:sz w:val="24"/>
          <w:szCs w:val="24"/>
        </w:rPr>
        <w:t xml:space="preserve">abbiano influenzato in modo significativo le attività progettuali, i risultati conseguiti per effetto della loro realizzazione ed i punti di debolezza che necessiteranno di uno sforzo ulteriore per correggerne l’andamento. </w:t>
      </w:r>
    </w:p>
    <w:p w14:paraId="66629102" w14:textId="7136CA4A" w:rsidR="00254A4F" w:rsidRPr="00F57B0B" w:rsidRDefault="00A75F52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color w:val="040C28"/>
          <w:sz w:val="24"/>
          <w:szCs w:val="24"/>
        </w:rPr>
        <w:t>A tale scopo la CTT ha sottoposto a tutti i docenti afferenti al Dipartimento una survey</w:t>
      </w:r>
      <w:r w:rsidR="00254A4F" w:rsidRPr="00F57B0B">
        <w:rPr>
          <w:rFonts w:ascii="Times New Roman" w:hAnsi="Times New Roman" w:cs="Times New Roman"/>
          <w:color w:val="040C28"/>
          <w:sz w:val="24"/>
          <w:szCs w:val="24"/>
        </w:rPr>
        <w:t xml:space="preserve"> focalizzata al monitoraggio degli indicatori e delle iniziative</w:t>
      </w:r>
      <w:r w:rsidR="007A31D2" w:rsidRPr="00F57B0B">
        <w:rPr>
          <w:rFonts w:ascii="Times New Roman" w:hAnsi="Times New Roman" w:cs="Times New Roman"/>
          <w:color w:val="040C28"/>
          <w:sz w:val="24"/>
          <w:szCs w:val="24"/>
        </w:rPr>
        <w:t xml:space="preserve"> intraprese</w:t>
      </w:r>
      <w:r w:rsidR="00254A4F" w:rsidRPr="00F57B0B">
        <w:rPr>
          <w:rFonts w:ascii="Times New Roman" w:hAnsi="Times New Roman" w:cs="Times New Roman"/>
          <w:color w:val="040C28"/>
          <w:sz w:val="24"/>
          <w:szCs w:val="24"/>
        </w:rPr>
        <w:t xml:space="preserve"> in ambito di trasferimento tecnologico.</w:t>
      </w:r>
      <w:r w:rsidR="00254A4F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 xml:space="preserve"> I dati sono basati su un campione di 35 docenti afferenti al Dipartimento di Scienze Mediche e Chirurgiche (DSMC), comprendente: </w:t>
      </w:r>
      <w:r w:rsidR="007A31D2" w:rsidRPr="00F57B0B">
        <w:rPr>
          <w:rFonts w:ascii="Times New Roman" w:hAnsi="Times New Roman" w:cs="Times New Roman"/>
          <w:color w:val="222222"/>
          <w:sz w:val="24"/>
          <w:szCs w:val="24"/>
          <w:lang w:eastAsia="it-IT"/>
        </w:rPr>
        <w:t>6 professori di I fascia, 16 professori di II fascia e 13 Ricercatori.</w:t>
      </w:r>
    </w:p>
    <w:p w14:paraId="5167219A" w14:textId="69EFB8DD" w:rsidR="000A0855" w:rsidRPr="000A0855" w:rsidRDefault="000A0855" w:rsidP="000A085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0A0855">
        <w:rPr>
          <w:rFonts w:ascii="Times New Roman" w:eastAsia="Times New Roman" w:hAnsi="Times New Roman" w:cs="Times New Roman"/>
          <w:noProof/>
          <w:color w:val="222222"/>
          <w:kern w:val="0"/>
          <w:sz w:val="24"/>
          <w:szCs w:val="24"/>
          <w:lang w:eastAsia="it-IT"/>
          <w14:ligatures w14:val="none"/>
        </w:rPr>
        <w:drawing>
          <wp:inline distT="0" distB="0" distL="0" distR="0" wp14:anchorId="125B3E06" wp14:editId="489A7E65">
            <wp:extent cx="6120130" cy="2775585"/>
            <wp:effectExtent l="0" t="0" r="1270" b="5715"/>
            <wp:docPr id="2" name="Picture 2" descr="A pie chart with numbers and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e chart with numbers and a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1DA45" w14:textId="6B00E4F4" w:rsidR="00524D07" w:rsidRPr="00F57B0B" w:rsidRDefault="007A31D2" w:rsidP="00F57B0B">
      <w:pPr>
        <w:pStyle w:val="Nessunaspaziatura"/>
        <w:spacing w:line="276" w:lineRule="auto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Il primo dato che emerge da una valutazione complessiva è</w:t>
      </w:r>
      <w:r w:rsidR="00524D07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la rilevanza della tematica oggetto della CTT, giudicata “rilevante” o “molto rilevante”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="00524D07" w:rsidRPr="00F57B0B">
        <w:rPr>
          <w:rFonts w:ascii="Times New Roman" w:hAnsi="Times New Roman" w:cs="Times New Roman"/>
          <w:sz w:val="24"/>
          <w:szCs w:val="24"/>
          <w:lang w:eastAsia="it-IT"/>
        </w:rPr>
        <w:t>dall’88,6% dei docenti</w:t>
      </w:r>
      <w:r w:rsidR="003B4FBA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70671C4B" w14:textId="680C2CE1" w:rsidR="00524D07" w:rsidRPr="00524D07" w:rsidRDefault="00524D07" w:rsidP="00524D0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524D07">
        <w:rPr>
          <w:rFonts w:ascii="Times New Roman" w:eastAsia="Times New Roman" w:hAnsi="Times New Roman" w:cs="Times New Roman"/>
          <w:noProof/>
          <w:color w:val="222222"/>
          <w:kern w:val="0"/>
          <w:sz w:val="24"/>
          <w:szCs w:val="24"/>
          <w:lang w:eastAsia="it-IT"/>
          <w14:ligatures w14:val="none"/>
        </w:rPr>
        <w:lastRenderedPageBreak/>
        <w:drawing>
          <wp:inline distT="0" distB="0" distL="0" distR="0" wp14:anchorId="2C88D667" wp14:editId="1A71F0FB">
            <wp:extent cx="6120130" cy="2576195"/>
            <wp:effectExtent l="0" t="0" r="1270" b="1905"/>
            <wp:docPr id="1" name="Picture 1" descr="A pie chart with numbers and a few word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e chart with numbers and a few word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CB788" w14:textId="4ECE6A45" w:rsidR="00DD05A9" w:rsidRPr="00F57B0B" w:rsidRDefault="00524D07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Nonostante ciò, </w:t>
      </w:r>
      <w:r w:rsidR="007A31D2" w:rsidRPr="00F57B0B">
        <w:rPr>
          <w:rFonts w:ascii="Times New Roman" w:hAnsi="Times New Roman" w:cs="Times New Roman"/>
          <w:sz w:val="24"/>
          <w:szCs w:val="24"/>
          <w:lang w:eastAsia="it-IT"/>
        </w:rPr>
        <w:t>esiste ancora una conoscenza limitata delle tematiche relative al trasferimento tecnologico (brevetti, spin-off), che risulta attualmente essere ottim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>a</w:t>
      </w:r>
      <w:r w:rsidR="007A31D2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solo nel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>l’8,6% dei casi,</w:t>
      </w:r>
      <w:r w:rsidR="007A31D2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sufficiente 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>nel 60% dei casi e insufficiente in circa un terzo dei casi (31.8% dei docenti).</w:t>
      </w:r>
      <w:r w:rsidR="00474E41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="00DD05A9" w:rsidRPr="00F57B0B">
        <w:rPr>
          <w:rFonts w:ascii="Times New Roman" w:hAnsi="Times New Roman" w:cs="Times New Roman"/>
          <w:sz w:val="24"/>
          <w:szCs w:val="24"/>
          <w:lang w:eastAsia="it-IT"/>
        </w:rPr>
        <w:t>Le aree</w:t>
      </w:r>
      <w:r w:rsidR="00474E41" w:rsidRPr="00F57B0B">
        <w:rPr>
          <w:rFonts w:ascii="Times New Roman" w:hAnsi="Times New Roman" w:cs="Times New Roman"/>
          <w:sz w:val="24"/>
          <w:szCs w:val="24"/>
        </w:rPr>
        <w:t xml:space="preserve"> critiche </w:t>
      </w:r>
      <w:r w:rsidR="00474E41" w:rsidRPr="00F57B0B">
        <w:rPr>
          <w:rFonts w:ascii="Times New Roman" w:hAnsi="Times New Roman" w:cs="Times New Roman"/>
          <w:sz w:val="24"/>
          <w:szCs w:val="24"/>
          <w:lang w:eastAsia="it-IT"/>
        </w:rPr>
        <w:t>ritenute di grande complessità nel percorso di trasferimento tecnologico riguardano in primo luogo le procedure amministrative (secondo il 72.2% dei docenti), seguite dalla difficoltà nella comunicazione con le imprese (27.8% dei docenti) e al terzo posto dalla difficoltà nel reperire finanziamenti in merito a progetti di trasferimento tecnologico (22.2% dei docenti).</w:t>
      </w:r>
    </w:p>
    <w:p w14:paraId="24C592BD" w14:textId="664A11FF" w:rsidR="007A31D2" w:rsidRPr="00F57B0B" w:rsidRDefault="00DD05A9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La CTT ha pertanto intrapreso iniziative basate sulla promozione di seminari, eventi o incontri a tema, per migliorare la conoscenza delle norme, dei regolamenti e dell’iter amministrativo che appaiono molto spesso complicati e troppo articolati.</w:t>
      </w:r>
      <w:r w:rsidR="00474E41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Tali seminari sono stati giudicati utili dall’86.7% dei docenti partecipanti</w:t>
      </w:r>
      <w:r w:rsidR="00454594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. Inoltre, il 53% dei docenti partecipanti ritiene utile l’organizzazione di incontri aggiuntivi al fine di acquisire ulteriori informazioni in materia di trasferimento tecnologico. </w:t>
      </w:r>
    </w:p>
    <w:p w14:paraId="19BC1730" w14:textId="77777777" w:rsidR="007C221D" w:rsidRPr="00F57B0B" w:rsidRDefault="00BB46F6" w:rsidP="00F57B0B">
      <w:pPr>
        <w:pStyle w:val="Nessunaspaziatura"/>
        <w:spacing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</w:pPr>
      <w:r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Il 17,6% dei docenti partecipanti alla survey ha avuto contatti con l’Ufficio Ricerca e Trasferimento Tecnologico dell'Ateneo. </w:t>
      </w:r>
      <w:r w:rsidR="00454594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>Il numero di brevetti</w:t>
      </w:r>
      <w:r w:rsidR="00454594" w:rsidRPr="00F57B0B">
        <w:rPr>
          <w:rFonts w:ascii="Times New Roman" w:hAnsi="Times New Roman" w:cs="Times New Roman"/>
          <w:sz w:val="24"/>
          <w:szCs w:val="24"/>
        </w:rPr>
        <w:t xml:space="preserve"> </w:t>
      </w:r>
      <w:r w:rsidR="00454594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ottenuti </w:t>
      </w:r>
      <w:r w:rsidR="007C221D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da docenti partecipanti alla survey </w:t>
      </w:r>
      <w:r w:rsidR="00454594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>nel periodo compreso tra Febbraio 2024 e Febbraio 2025 risulta essere</w:t>
      </w:r>
      <w:r w:rsidR="00FC3304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 pari a 3</w:t>
      </w:r>
      <w:r w:rsidR="00C378DE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 (9.1% dei docenti)</w:t>
      </w:r>
      <w:r w:rsidR="00FC3304"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>, in linea con l’anno precedente (2023-2024), associato alla partecipazione a bandi per promuovere progetti di trasferimento tecnologico da parte dell’8,6% dei docenti (rispetto al 5.7% dell’anno precedente).</w:t>
      </w:r>
    </w:p>
    <w:p w14:paraId="21E4AEEC" w14:textId="399FAA65" w:rsidR="007C221D" w:rsidRPr="00F57B0B" w:rsidRDefault="007C221D" w:rsidP="00F57B0B">
      <w:pPr>
        <w:pStyle w:val="Nessunaspaziatura"/>
        <w:spacing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</w:pPr>
      <w:r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Utilizzando i dati disponibili sul sito del nostro ateneo </w:t>
      </w:r>
      <w:hyperlink r:id="rId7" w:history="1">
        <w:r w:rsidRPr="00F57B0B">
          <w:rPr>
            <w:rStyle w:val="Collegamentoipertestuale"/>
            <w:rFonts w:ascii="Times New Roman" w:eastAsia="Times New Roman" w:hAnsi="Times New Roman" w:cs="Times New Roman"/>
            <w:kern w:val="0"/>
            <w:sz w:val="24"/>
            <w:szCs w:val="24"/>
            <w:lang w:eastAsia="it-IT"/>
            <w14:ligatures w14:val="none"/>
          </w:rPr>
          <w:t>https://web.unicz.it/it/page/portfolio-brevetti</w:t>
        </w:r>
      </w:hyperlink>
      <w:r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, che si basano su un più largo campione di docenti e coprono un periodo di tempo dal 2018 al 2024, si evince chiaramente il trend in crescita delle iniziative di trasferimento tecnologico da parte dei docenti </w:t>
      </w:r>
      <w:r w:rsidR="003B4FB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>afferenti</w:t>
      </w:r>
      <w:r w:rsidRPr="00F57B0B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  <w:t xml:space="preserve"> al DMSC.</w:t>
      </w:r>
    </w:p>
    <w:p w14:paraId="30324CCF" w14:textId="2024D753" w:rsidR="007C221D" w:rsidRDefault="007C221D" w:rsidP="00F57B0B">
      <w:pPr>
        <w:shd w:val="clear" w:color="auto" w:fill="FFFFFF"/>
        <w:spacing w:before="240" w:after="240" w:line="360" w:lineRule="auto"/>
        <w:ind w:left="708" w:firstLine="708"/>
        <w:jc w:val="center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222222"/>
          <w:kern w:val="0"/>
          <w:sz w:val="24"/>
          <w:szCs w:val="24"/>
          <w:lang w:eastAsia="it-IT"/>
        </w:rPr>
        <w:lastRenderedPageBreak/>
        <w:drawing>
          <wp:inline distT="0" distB="0" distL="0" distR="0" wp14:anchorId="7AF59DEF" wp14:editId="200E77D3">
            <wp:extent cx="3943350" cy="3168019"/>
            <wp:effectExtent l="0" t="0" r="0" b="0"/>
            <wp:docPr id="3" name="Picture 3" descr="A graph of a number of ba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graph of a number of bars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6742" cy="3194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15D18" w14:textId="5FD24D19" w:rsidR="00454594" w:rsidRPr="00F57B0B" w:rsidRDefault="00C378DE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Il numero di richieste da parte di aziende/partner di ricerca locali nazionali o internazionali, interessate alla condivisione di programmi di ricerca a scopo brevettuale è stato di 2 (6.2% dei docenti), in linea con l’anno precedente.</w:t>
      </w:r>
    </w:p>
    <w:p w14:paraId="0F88CF9D" w14:textId="50B28620" w:rsidR="00C378DE" w:rsidRPr="00F57B0B" w:rsidRDefault="00C378DE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Al contrario una riduzione della partecipazione a gruppi di ricerca, anche di aree non omogenee, volti allo sviluppo di brevetti si è osservata nell’ultimo anno (14,3% dei docenti) rispetto all’anno precedente (</w:t>
      </w:r>
      <w:r w:rsidR="00581442" w:rsidRPr="00F57B0B">
        <w:rPr>
          <w:rFonts w:ascii="Times New Roman" w:hAnsi="Times New Roman" w:cs="Times New Roman"/>
          <w:sz w:val="24"/>
          <w:szCs w:val="24"/>
          <w:lang w:eastAsia="it-IT"/>
        </w:rPr>
        <w:t>25,7% dei docenti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>)</w:t>
      </w:r>
      <w:r w:rsidR="00581442" w:rsidRPr="00F57B0B"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14:paraId="4479DE19" w14:textId="077F53E5" w:rsidR="000A0855" w:rsidRPr="00F57B0B" w:rsidRDefault="00581442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Non risultano ad oggi progetti volti alla creazione di spin-off da parte dei docenti afferenti al DSMC partecipanti alla survey.</w:t>
      </w:r>
    </w:p>
    <w:p w14:paraId="23A33A33" w14:textId="4AA15F36" w:rsidR="006B1F71" w:rsidRPr="00F57B0B" w:rsidRDefault="00581442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L</w:t>
      </w:r>
      <w:r w:rsidR="003F310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a CTT ritiene 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tali dati </w:t>
      </w:r>
      <w:r w:rsidR="007C221D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incoraggianti (anche in merito alla prominente partecipazione di Ricercatori e Professori di II fascia alla survey) e 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di grande rilevanza al fine di fornire una base dello stato dell’arte </w:t>
      </w:r>
      <w:r w:rsidR="00F42ACD" w:rsidRPr="00F57B0B">
        <w:rPr>
          <w:rFonts w:ascii="Times New Roman" w:hAnsi="Times New Roman" w:cs="Times New Roman"/>
          <w:sz w:val="24"/>
          <w:szCs w:val="24"/>
          <w:lang w:eastAsia="it-IT"/>
        </w:rPr>
        <w:t>in merito alle iniziative di trasferimento tecnologico, e rilevare i punti di maggiore “debolezza”</w:t>
      </w:r>
      <w:r w:rsidR="007C221D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. Tali punti </w:t>
      </w:r>
      <w:r w:rsidR="00F42ACD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risultano essere la necessità di maggiore supporto amministrativo e la creazione di spin-off. </w:t>
      </w:r>
      <w:r w:rsidR="007C221D" w:rsidRPr="00F57B0B">
        <w:rPr>
          <w:rFonts w:ascii="Times New Roman" w:hAnsi="Times New Roman" w:cs="Times New Roman"/>
          <w:sz w:val="24"/>
          <w:szCs w:val="24"/>
          <w:lang w:eastAsia="it-IT"/>
        </w:rPr>
        <w:t>La</w:t>
      </w:r>
      <w:r w:rsidR="00F42ACD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valutazione </w:t>
      </w:r>
      <w:r w:rsidR="007C221D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condotta </w:t>
      </w:r>
      <w:r w:rsidR="00F42ACD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potrà essere di grande utilità al fine di pianificare le iniziative negli anni futuri. In primo luogo, la CTT si </w:t>
      </w:r>
      <w:r w:rsidR="003F310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propone di </w:t>
      </w:r>
      <w:r w:rsidR="00F42ACD" w:rsidRPr="00F57B0B">
        <w:rPr>
          <w:rFonts w:ascii="Times New Roman" w:hAnsi="Times New Roman" w:cs="Times New Roman"/>
          <w:sz w:val="24"/>
          <w:szCs w:val="24"/>
          <w:lang w:eastAsia="it-IT"/>
        </w:rPr>
        <w:t>continuare gli incontri di formazione in merito al trasferimento tecnologico, che hanno riscosso interesse e hanno migliorato la conoscenza attuale delle tematiche di trasferimento tecnologico, ma necessita di potenziamento. A questo si aggiunge</w:t>
      </w:r>
      <w:r w:rsidR="00835E6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la creazione di partenariati e collaborazioni dirette con enti e reti d’impresa territoriali; </w:t>
      </w:r>
      <w:r w:rsidR="000A0855" w:rsidRPr="00F57B0B">
        <w:rPr>
          <w:rFonts w:ascii="Times New Roman" w:hAnsi="Times New Roman" w:cs="Times New Roman"/>
          <w:sz w:val="24"/>
          <w:szCs w:val="24"/>
          <w:lang w:eastAsia="it-IT"/>
        </w:rPr>
        <w:t>il miglioramento del</w:t>
      </w:r>
      <w:r w:rsidR="00835E68" w:rsidRPr="00F57B0B">
        <w:rPr>
          <w:rFonts w:ascii="Times New Roman" w:hAnsi="Times New Roman" w:cs="Times New Roman"/>
          <w:sz w:val="24"/>
          <w:szCs w:val="24"/>
          <w:lang w:eastAsia="it-IT"/>
        </w:rPr>
        <w:t>l’</w:t>
      </w:r>
      <w:r w:rsidR="00487DC4" w:rsidRPr="00F57B0B">
        <w:rPr>
          <w:rFonts w:ascii="Times New Roman" w:hAnsi="Times New Roman" w:cs="Times New Roman"/>
          <w:sz w:val="24"/>
          <w:szCs w:val="24"/>
          <w:lang w:eastAsia="it-IT"/>
        </w:rPr>
        <w:t>assistenza e/o la partecipazione in attività e progetti strategici per l’implementazione e il mantenimento dei rapporti con le imprese del territorio e con le istituzioni ed enti eroganti;</w:t>
      </w:r>
      <w:r w:rsidR="00835E6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</w:t>
      </w:r>
      <w:r w:rsidR="000A0855" w:rsidRPr="00F57B0B">
        <w:rPr>
          <w:rFonts w:ascii="Times New Roman" w:hAnsi="Times New Roman" w:cs="Times New Roman"/>
          <w:sz w:val="24"/>
          <w:szCs w:val="24"/>
          <w:lang w:eastAsia="it-IT"/>
        </w:rPr>
        <w:t>l’</w:t>
      </w:r>
      <w:r w:rsidR="00835E6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effettuare una capillare mappatura dei gruppi di ricerca affini e non, allo scopo di favorire le interconnessioni propedeutiche alla presentazione delle proposte progettuali; </w:t>
      </w:r>
      <w:r w:rsidR="000A0855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la </w:t>
      </w:r>
      <w:r w:rsidR="00835E68" w:rsidRPr="00F57B0B">
        <w:rPr>
          <w:rFonts w:ascii="Times New Roman" w:hAnsi="Times New Roman" w:cs="Times New Roman"/>
          <w:sz w:val="24"/>
          <w:szCs w:val="24"/>
          <w:lang w:eastAsia="it-IT"/>
        </w:rPr>
        <w:t>programmazione di iniziative di formazione in collaborazione con le imprese (corsi ad hoc?)</w:t>
      </w:r>
      <w:r w:rsidR="006B1F71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allo scopo di promuovere la cultura dell'innovazione e dell'imprenditorialità.</w:t>
      </w:r>
    </w:p>
    <w:p w14:paraId="47FC86B3" w14:textId="77777777" w:rsidR="003F3108" w:rsidRPr="00F57B0B" w:rsidRDefault="003F3108" w:rsidP="00F57B0B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57B0B">
        <w:rPr>
          <w:rFonts w:ascii="Times New Roman" w:hAnsi="Times New Roman" w:cs="Times New Roman"/>
          <w:sz w:val="24"/>
          <w:szCs w:val="24"/>
          <w:lang w:eastAsia="it-IT"/>
        </w:rPr>
        <w:t>Sarà necessario inoltre potenziare la</w:t>
      </w:r>
      <w:r w:rsidR="00487DC4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 Rete di informazione interna 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>allo scopo di effettuare una sorta di “</w:t>
      </w:r>
      <w:r w:rsidRPr="00F57B0B">
        <w:rPr>
          <w:rFonts w:ascii="Times New Roman" w:hAnsi="Times New Roman" w:cs="Times New Roman"/>
          <w:i/>
          <w:sz w:val="24"/>
          <w:szCs w:val="24"/>
          <w:lang w:eastAsia="it-IT"/>
        </w:rPr>
        <w:t>Scouting di idee progettuali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” </w:t>
      </w:r>
      <w:r w:rsidR="00835E68" w:rsidRPr="00F57B0B">
        <w:rPr>
          <w:rFonts w:ascii="Times New Roman" w:hAnsi="Times New Roman" w:cs="Times New Roman"/>
          <w:sz w:val="24"/>
          <w:szCs w:val="24"/>
          <w:lang w:eastAsia="it-IT"/>
        </w:rPr>
        <w:t xml:space="preserve">(spin off, </w:t>
      </w:r>
      <w:r w:rsidRPr="00F57B0B">
        <w:rPr>
          <w:rFonts w:ascii="Times New Roman" w:hAnsi="Times New Roman" w:cs="Times New Roman"/>
          <w:sz w:val="24"/>
          <w:szCs w:val="24"/>
          <w:lang w:eastAsia="it-IT"/>
        </w:rPr>
        <w:t>start up innovative, brevetti) volto alla loro valorizzazione, attraverso i diversi strumenti ed iniziative a disposizione (es. fondi di sostegno alla imprenditorialità tecnologica?).</w:t>
      </w:r>
    </w:p>
    <w:sectPr w:rsidR="003F3108" w:rsidRPr="00F57B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721FD"/>
    <w:multiLevelType w:val="multilevel"/>
    <w:tmpl w:val="4516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5212FC"/>
    <w:multiLevelType w:val="multilevel"/>
    <w:tmpl w:val="002CF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BA3172"/>
    <w:multiLevelType w:val="multilevel"/>
    <w:tmpl w:val="25C41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5D7B4F"/>
    <w:multiLevelType w:val="multilevel"/>
    <w:tmpl w:val="D4BA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4848816">
    <w:abstractNumId w:val="1"/>
  </w:num>
  <w:num w:numId="2" w16cid:durableId="1635216649">
    <w:abstractNumId w:val="0"/>
  </w:num>
  <w:num w:numId="3" w16cid:durableId="1290166862">
    <w:abstractNumId w:val="2"/>
  </w:num>
  <w:num w:numId="4" w16cid:durableId="178664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28"/>
    <w:rsid w:val="00004D7C"/>
    <w:rsid w:val="000A0855"/>
    <w:rsid w:val="00254A4F"/>
    <w:rsid w:val="00357BAF"/>
    <w:rsid w:val="003B4FBA"/>
    <w:rsid w:val="003F3108"/>
    <w:rsid w:val="00454594"/>
    <w:rsid w:val="00474E41"/>
    <w:rsid w:val="00487DC4"/>
    <w:rsid w:val="00524D07"/>
    <w:rsid w:val="00581442"/>
    <w:rsid w:val="00670B2B"/>
    <w:rsid w:val="006B1F71"/>
    <w:rsid w:val="00717727"/>
    <w:rsid w:val="007728D5"/>
    <w:rsid w:val="007A31D2"/>
    <w:rsid w:val="007C221D"/>
    <w:rsid w:val="00835E68"/>
    <w:rsid w:val="00A13EAE"/>
    <w:rsid w:val="00A75F52"/>
    <w:rsid w:val="00B8168E"/>
    <w:rsid w:val="00BB46F6"/>
    <w:rsid w:val="00C378DE"/>
    <w:rsid w:val="00C64773"/>
    <w:rsid w:val="00D52928"/>
    <w:rsid w:val="00DD05A9"/>
    <w:rsid w:val="00E1183E"/>
    <w:rsid w:val="00E87E0E"/>
    <w:rsid w:val="00F42ACD"/>
    <w:rsid w:val="00F57B0B"/>
    <w:rsid w:val="00FC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E40A"/>
  <w15:chartTrackingRefBased/>
  <w15:docId w15:val="{F9284006-208B-48E4-A959-DA6B1E8C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5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D5292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54A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4A4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4A4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4A4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4A4F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C221D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7C221D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B0B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F57B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eb.unicz.it/it/page/portfolio-brevet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UNICZ</dc:creator>
  <cp:keywords/>
  <dc:description/>
  <cp:lastModifiedBy>pujia</cp:lastModifiedBy>
  <cp:revision>2</cp:revision>
  <dcterms:created xsi:type="dcterms:W3CDTF">2025-04-08T13:45:00Z</dcterms:created>
  <dcterms:modified xsi:type="dcterms:W3CDTF">2025-04-08T13:45:00Z</dcterms:modified>
</cp:coreProperties>
</file>